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外交黑体" w:hAnsi="外交黑体" w:eastAsia="外交黑体" w:cs="外交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外交黑体" w:hAnsi="外交黑体" w:eastAsia="外交黑体" w:cs="外交黑体"/>
          <w:b w:val="0"/>
          <w:bCs w:val="0"/>
          <w:sz w:val="32"/>
          <w:szCs w:val="32"/>
          <w:lang w:val="en-US" w:eastAsia="zh-CN"/>
        </w:rPr>
        <w:t>摩尔多瓦附加证明书办理信息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外交黑体" w:hAnsi="外交黑体" w:eastAsia="外交黑体" w:cs="外交黑体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摩尔多瓦司法部为海牙认证办理的主体机构，摩外交与欧洲一体化部负责摩中央行政当局出具文书的海牙认证。摩出具公文书的海牙认证请咨询摩司法部及外交与欧洲一体化部。</w:t>
      </w:r>
    </w:p>
    <w:p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拥有数字签名的</w:t>
      </w:r>
      <w:bookmarkStart w:id="0" w:name="_GoBack"/>
      <w:bookmarkEnd w:id="0"/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申请人可通过摩司法部网站</w:t>
      </w:r>
      <w:r>
        <w:rPr>
          <w:rFonts w:hint="default" w:ascii="Times New Roman" w:hAnsi="Times New Roman" w:eastAsia="外交粗仿宋" w:cs="Times New Roman"/>
          <w:sz w:val="32"/>
          <w:szCs w:val="32"/>
          <w:lang w:val="en-US" w:eastAsia="zh-CN"/>
        </w:rPr>
        <w:t>www.apostila.gov.md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申请办理相关业务。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2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2023-10-23T15:21:04Z</dcterms:created>
  <dc:creator>zhuwaidiannao</dc:creator>
  <cp:lastModifiedBy>zhuwaidiannao</cp:lastModifiedBy>
  <dcterms:modified xsi:type="dcterms:W3CDTF">2023-10-23T15:21:16Z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