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00" w:line="560" w:lineRule="exact"/>
        <w:jc w:val="left"/>
        <w:textAlignment w:val="auto"/>
        <w:rPr>
          <w:rFonts w:hint="default" w:ascii="Times New Roman" w:hAnsi="Times New Roman" w:eastAsia="外交黑体" w:cs="Times New Roman"/>
          <w:sz w:val="36"/>
          <w:szCs w:val="36"/>
        </w:rPr>
      </w:pPr>
      <w:r>
        <w:rPr>
          <w:rFonts w:hint="default" w:ascii="Times New Roman" w:hAnsi="Times New Roman" w:eastAsia="外交黑体" w:cs="Times New Roman"/>
          <w:sz w:val="36"/>
          <w:szCs w:val="36"/>
        </w:rPr>
        <w:t>Anexa 1:</w:t>
      </w:r>
    </w:p>
    <w:p>
      <w:pPr>
        <w:keepNext w:val="0"/>
        <w:keepLines w:val="0"/>
        <w:pageBreakBefore w:val="0"/>
        <w:widowControl w:val="0"/>
        <w:kinsoku/>
        <w:wordWrap/>
        <w:overflowPunct/>
        <w:topLinePunct w:val="0"/>
        <w:autoSpaceDE/>
        <w:autoSpaceDN/>
        <w:bidi w:val="0"/>
        <w:adjustRightInd/>
        <w:snapToGrid/>
        <w:spacing w:after="200" w:line="560" w:lineRule="exact"/>
        <w:ind w:firstLine="720" w:firstLineChars="200"/>
        <w:jc w:val="center"/>
        <w:textAlignment w:val="auto"/>
        <w:rPr>
          <w:rFonts w:hint="default" w:ascii="Times New Roman" w:hAnsi="Times New Roman" w:eastAsia="外交黑体" w:cs="Times New Roman"/>
          <w:sz w:val="36"/>
          <w:szCs w:val="36"/>
        </w:rPr>
      </w:pPr>
    </w:p>
    <w:p>
      <w:pPr>
        <w:keepNext w:val="0"/>
        <w:keepLines w:val="0"/>
        <w:pageBreakBefore w:val="0"/>
        <w:widowControl w:val="0"/>
        <w:kinsoku/>
        <w:wordWrap/>
        <w:overflowPunct/>
        <w:topLinePunct w:val="0"/>
        <w:autoSpaceDE/>
        <w:autoSpaceDN/>
        <w:bidi w:val="0"/>
        <w:adjustRightInd/>
        <w:snapToGrid/>
        <w:spacing w:after="200" w:line="560" w:lineRule="exact"/>
        <w:jc w:val="center"/>
        <w:textAlignment w:val="auto"/>
        <w:rPr>
          <w:rFonts w:hint="default" w:ascii="Times New Roman" w:hAnsi="Times New Roman" w:eastAsia="外交粗仿宋" w:cs="Times New Roman"/>
          <w:sz w:val="36"/>
          <w:szCs w:val="36"/>
        </w:rPr>
      </w:pPr>
      <w:r>
        <w:rPr>
          <w:rFonts w:hint="default" w:ascii="Times New Roman" w:hAnsi="Times New Roman" w:eastAsia="外交粗仿宋" w:cs="Times New Roman"/>
          <w:sz w:val="36"/>
          <w:szCs w:val="36"/>
        </w:rPr>
        <w:t>Lista Departamentelor de Afaceri Externe a Guvernelor Provinciale Locale care emit Certificate de Apostilă</w:t>
      </w:r>
    </w:p>
    <w:p>
      <w:pPr>
        <w:keepNext w:val="0"/>
        <w:keepLines w:val="0"/>
        <w:pageBreakBefore w:val="0"/>
        <w:widowControl w:val="0"/>
        <w:kinsoku/>
        <w:wordWrap/>
        <w:overflowPunct/>
        <w:topLinePunct w:val="0"/>
        <w:autoSpaceDE/>
        <w:autoSpaceDN/>
        <w:bidi w:val="0"/>
        <w:adjustRightInd/>
        <w:snapToGrid/>
        <w:spacing w:after="200" w:line="560" w:lineRule="exact"/>
        <w:jc w:val="center"/>
        <w:textAlignment w:val="auto"/>
        <w:rPr>
          <w:rFonts w:hint="default" w:ascii="Times New Roman" w:hAnsi="Times New Roman" w:eastAsia="外交黑体" w:cs="Times New Roman"/>
          <w:sz w:val="36"/>
          <w:szCs w:val="36"/>
        </w:rPr>
      </w:pPr>
      <w:r>
        <w:rPr>
          <w:rFonts w:hint="default" w:ascii="Times New Roman" w:hAnsi="Times New Roman" w:eastAsia="外交黑体" w:cs="Times New Roman"/>
          <w:sz w:val="36"/>
          <w:szCs w:val="36"/>
        </w:rPr>
        <w:t xml:space="preserve"> (31 în total)</w:t>
      </w:r>
    </w:p>
    <w:p>
      <w:pPr>
        <w:keepNext w:val="0"/>
        <w:keepLines w:val="0"/>
        <w:pageBreakBefore w:val="0"/>
        <w:widowControl w:val="0"/>
        <w:kinsoku/>
        <w:wordWrap/>
        <w:overflowPunct/>
        <w:topLinePunct w:val="0"/>
        <w:autoSpaceDE/>
        <w:autoSpaceDN/>
        <w:bidi w:val="0"/>
        <w:adjustRightInd/>
        <w:snapToGrid/>
        <w:spacing w:after="200" w:line="560" w:lineRule="exact"/>
        <w:ind w:firstLine="640" w:firstLineChars="200"/>
        <w:jc w:val="left"/>
        <w:textAlignment w:val="auto"/>
        <w:rPr>
          <w:rFonts w:hint="default" w:ascii="Times New Roman" w:hAnsi="Times New Roman" w:eastAsia="外交粗仿宋" w:cs="Times New Roman"/>
          <w:sz w:val="32"/>
          <w:szCs w:val="32"/>
        </w:rPr>
      </w:pPr>
    </w:p>
    <w:p>
      <w:pPr>
        <w:keepNext w:val="0"/>
        <w:keepLines w:val="0"/>
        <w:pageBreakBefore w:val="0"/>
        <w:widowControl w:val="0"/>
        <w:kinsoku/>
        <w:wordWrap/>
        <w:overflowPunct/>
        <w:topLinePunct w:val="0"/>
        <w:autoSpaceDE/>
        <w:autoSpaceDN/>
        <w:bidi w:val="0"/>
        <w:adjustRightInd/>
        <w:snapToGrid/>
        <w:spacing w:after="200" w:line="560" w:lineRule="exact"/>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Provincia Anhui, Orașul Chongqing, Provincia Fujian, Provincia Guangdong, Regiunea Autonomă Guangxi Zhuang, Provincia Guizhou, Provincia Henan, Provincia Heilongjiang, Provincia Hubei, Provincia Hunan, Provincia Hainan, Provincia Jilin, Provincia Jiangsu, Provincia Jiangxi, Provincia Liaoning, Provincia Sichuan, Provincia Shandong, Orașul Shanghai, Provincia Shaanxi, Provincia Yunnan, Provincia Zhejiang, Provincia Gansu, Provincia Hebei, Provincia Shanxi, Regiunea Autonomă Mongolia Interioară, Orașul Changchun, Orașul Harbin, Orașul Ningbo, Orașul Jinan, Orașul Qingdao, Orașul Shenzhen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黑体">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F63E4"/>
    <w:rsid w:val="78BF6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2023-10-24T11:34:00Z</dcterms:created>
  <dc:creator>zhuwaidiannao</dc:creator>
  <cp:lastModifiedBy>zhuwaidiannao</cp:lastModifiedBy>
  <dcterms:modified xsi:type="dcterms:W3CDTF">2023-10-24T11:35:09Z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